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1607DD48" w14:textId="77777777" w:rsidR="00512A18" w:rsidRPr="00AA26FF" w:rsidRDefault="00512A18" w:rsidP="00512A18">
            <w:pPr>
              <w:pStyle w:val="Titre"/>
              <w:rPr>
                <w:rFonts w:eastAsia="Calibri"/>
                <w:bCs/>
                <w:szCs w:val="22"/>
                <w:lang w:eastAsia="en-US"/>
              </w:rPr>
            </w:pPr>
            <w:r w:rsidRPr="00AA26FF">
              <w:rPr>
                <w:rFonts w:eastAsia="Calibri"/>
                <w:bCs/>
                <w:szCs w:val="22"/>
                <w:lang w:eastAsia="en-US"/>
              </w:rPr>
              <w:t>Lot n°5 : Maçonnerie, revêtements de sol et muraux, plâtrerie</w:t>
            </w:r>
          </w:p>
          <w:p w14:paraId="0B8E37F5" w14:textId="09152CED" w:rsidR="00DE4880" w:rsidRPr="00B07991" w:rsidRDefault="00DE4880" w:rsidP="00D8470C">
            <w:pPr>
              <w:pStyle w:val="Titre"/>
              <w:rPr>
                <w:szCs w:val="22"/>
              </w:rPr>
            </w:pPr>
            <w:bookmarkStart w:id="1" w:name="_GoBack"/>
            <w:bookmarkEnd w:id="1"/>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0C0C919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Pr>
          <w:rFonts w:ascii="Times New Roman" w:eastAsia="Times New Roman" w:hAnsi="Times New Roman"/>
          <w:lang w:eastAsia="fr-FR"/>
        </w:rPr>
        <w:t xml:space="preserve">360 000 €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43370834"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12A18">
      <w:rPr>
        <w:rStyle w:val="Numrodepage"/>
        <w:noProof/>
      </w:rPr>
      <w:t>6</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E514A"/>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12A18"/>
    <w:rsid w:val="00531CCC"/>
    <w:rsid w:val="0055357E"/>
    <w:rsid w:val="00560E81"/>
    <w:rsid w:val="00565B37"/>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3CF88-848A-459F-BA25-A3CF09B65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1474</Words>
  <Characters>8109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5</cp:revision>
  <cp:lastPrinted>2021-05-03T15:06:00Z</cp:lastPrinted>
  <dcterms:created xsi:type="dcterms:W3CDTF">2026-01-22T13:40:00Z</dcterms:created>
  <dcterms:modified xsi:type="dcterms:W3CDTF">2026-01-22T13:42:00Z</dcterms:modified>
</cp:coreProperties>
</file>